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37A6" w14:textId="77777777" w:rsidR="00583E16" w:rsidRDefault="00583E16" w:rsidP="00F16BAC">
      <w:pPr>
        <w:spacing w:after="0" w:line="360" w:lineRule="auto"/>
        <w:ind w:left="0" w:firstLine="0"/>
        <w:rPr>
          <w:rFonts w:asciiTheme="minorHAnsi" w:eastAsia="Gotham" w:hAnsiTheme="minorHAnsi" w:cstheme="minorHAnsi"/>
          <w:b/>
          <w:color w:val="1C345C"/>
          <w:sz w:val="55"/>
        </w:rPr>
      </w:pPr>
    </w:p>
    <w:p w14:paraId="254BB989" w14:textId="0152CDA9" w:rsidR="00541C82" w:rsidRPr="00583E16" w:rsidRDefault="628E8995" w:rsidP="628E8995">
      <w:pPr>
        <w:spacing w:after="0" w:line="360" w:lineRule="auto"/>
        <w:ind w:left="0" w:firstLine="0"/>
        <w:rPr>
          <w:rFonts w:asciiTheme="minorHAnsi" w:hAnsiTheme="minorHAnsi" w:cstheme="minorBidi"/>
        </w:rPr>
      </w:pPr>
      <w:r w:rsidRPr="628E8995">
        <w:rPr>
          <w:rFonts w:asciiTheme="minorHAnsi" w:eastAsia="Gotham" w:hAnsiTheme="minorHAnsi" w:cstheme="minorBidi"/>
          <w:b/>
          <w:bCs/>
          <w:color w:val="1C345C"/>
          <w:sz w:val="55"/>
          <w:szCs w:val="55"/>
        </w:rPr>
        <w:t>Call for Speakers</w:t>
      </w:r>
      <w:r w:rsidR="00583E16">
        <w:br/>
      </w:r>
      <w:r w:rsidRPr="628E8995">
        <w:rPr>
          <w:rFonts w:asciiTheme="minorHAnsi" w:eastAsia="Gotham" w:hAnsiTheme="minorHAnsi" w:cstheme="minorBidi"/>
          <w:color w:val="F28424"/>
          <w:sz w:val="28"/>
          <w:szCs w:val="28"/>
        </w:rPr>
        <w:t>202</w:t>
      </w:r>
      <w:r w:rsidR="00742D30">
        <w:rPr>
          <w:rFonts w:asciiTheme="minorHAnsi" w:eastAsia="Gotham" w:hAnsiTheme="minorHAnsi" w:cstheme="minorBidi"/>
          <w:color w:val="F28424"/>
          <w:sz w:val="28"/>
          <w:szCs w:val="28"/>
        </w:rPr>
        <w:t>4</w:t>
      </w:r>
      <w:r w:rsidRPr="628E8995">
        <w:rPr>
          <w:rFonts w:asciiTheme="minorHAnsi" w:eastAsia="Gotham" w:hAnsiTheme="minorHAnsi" w:cstheme="minorBidi"/>
          <w:color w:val="F28424"/>
          <w:sz w:val="28"/>
          <w:szCs w:val="28"/>
        </w:rPr>
        <w:t xml:space="preserve"> NW Conference on Childhood Grief</w:t>
      </w:r>
    </w:p>
    <w:p w14:paraId="140858E1" w14:textId="32738173" w:rsidR="00541C82" w:rsidRPr="00583E16" w:rsidRDefault="00583E16" w:rsidP="628E8995">
      <w:pPr>
        <w:spacing w:after="70" w:line="360" w:lineRule="auto"/>
        <w:ind w:left="-5" w:right="8"/>
        <w:rPr>
          <w:rFonts w:asciiTheme="minorHAnsi" w:eastAsia="Calibri" w:hAnsiTheme="minorHAnsi" w:cstheme="minorBidi"/>
        </w:rPr>
      </w:pPr>
      <w:r w:rsidRPr="628E8995">
        <w:rPr>
          <w:rFonts w:asciiTheme="minorHAnsi" w:eastAsia="Calibri" w:hAnsiTheme="minorHAnsi" w:cstheme="minorBidi"/>
        </w:rPr>
        <w:t>In response to a call from local providers of children’s grief support, Safe Crossings</w:t>
      </w:r>
      <w:r w:rsidR="00F16BAC" w:rsidRPr="628E8995">
        <w:rPr>
          <w:rFonts w:asciiTheme="minorHAnsi" w:hAnsiTheme="minorHAnsi" w:cstheme="minorBidi"/>
        </w:rPr>
        <w:t xml:space="preserve"> </w:t>
      </w:r>
      <w:r w:rsidRPr="628E8995">
        <w:rPr>
          <w:rFonts w:asciiTheme="minorHAnsi" w:eastAsia="Calibri" w:hAnsiTheme="minorHAnsi" w:cstheme="minorBidi"/>
        </w:rPr>
        <w:t xml:space="preserve">Foundation (SCF) will be presenting the </w:t>
      </w:r>
      <w:r w:rsidR="0026348F">
        <w:rPr>
          <w:rFonts w:asciiTheme="minorHAnsi" w:eastAsia="Calibri" w:hAnsiTheme="minorHAnsi" w:cstheme="minorBidi"/>
        </w:rPr>
        <w:t>10</w:t>
      </w:r>
      <w:r w:rsidRPr="628E8995">
        <w:rPr>
          <w:rFonts w:asciiTheme="minorHAnsi" w:eastAsia="Calibri" w:hAnsiTheme="minorHAnsi" w:cstheme="minorBidi"/>
        </w:rPr>
        <w:t>th Annual Northwest Conference on Childhood</w:t>
      </w:r>
      <w:r w:rsidRPr="00583E16">
        <w:rPr>
          <w:rFonts w:asciiTheme="minorHAnsi" w:eastAsia="Calibri" w:hAnsiTheme="minorHAnsi" w:cstheme="minorHAns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52135C" wp14:editId="25BD8B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352005"/>
                <wp:effectExtent l="0" t="0" r="0" b="0"/>
                <wp:wrapTopAndBottom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352005"/>
                          <a:chOff x="0" y="0"/>
                          <a:chExt cx="7772400" cy="5352005"/>
                        </a:xfrm>
                      </wpg:grpSpPr>
                      <pic:pic xmlns:pic="http://schemas.openxmlformats.org/drawingml/2006/picture">
                        <pic:nvPicPr>
                          <pic:cNvPr id="2024" name="Picture 20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3364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0" y="2825945"/>
                            <a:ext cx="7484099" cy="153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4099" h="1533432">
                                <a:moveTo>
                                  <a:pt x="7484099" y="100244"/>
                                </a:moveTo>
                                <a:cubicBezTo>
                                  <a:pt x="7484099" y="100244"/>
                                  <a:pt x="7372852" y="1533432"/>
                                  <a:pt x="4714050" y="1455313"/>
                                </a:cubicBezTo>
                                <a:cubicBezTo>
                                  <a:pt x="2553784" y="1391821"/>
                                  <a:pt x="1349830" y="437280"/>
                                  <a:pt x="128922" y="695323"/>
                                </a:cubicBezTo>
                                <a:lnTo>
                                  <a:pt x="0" y="727575"/>
                                </a:lnTo>
                                <a:lnTo>
                                  <a:pt x="0" y="492460"/>
                                </a:lnTo>
                                <a:lnTo>
                                  <a:pt x="79493" y="454752"/>
                                </a:lnTo>
                                <a:cubicBezTo>
                                  <a:pt x="692383" y="181366"/>
                                  <a:pt x="1720566" y="0"/>
                                  <a:pt x="3381741" y="368083"/>
                                </a:cubicBezTo>
                                <a:cubicBezTo>
                                  <a:pt x="6704099" y="1104139"/>
                                  <a:pt x="7484099" y="100244"/>
                                  <a:pt x="7484099" y="1002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4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06205"/>
                            <a:ext cx="7772399" cy="146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468361">
                                <a:moveTo>
                                  <a:pt x="2023096" y="1090"/>
                                </a:moveTo>
                                <a:cubicBezTo>
                                  <a:pt x="2528918" y="8723"/>
                                  <a:pt x="3122597" y="76647"/>
                                  <a:pt x="3817382" y="232978"/>
                                </a:cubicBezTo>
                                <a:cubicBezTo>
                                  <a:pt x="5972640" y="717852"/>
                                  <a:pt x="7150325" y="528585"/>
                                  <a:pt x="7751492" y="294783"/>
                                </a:cubicBezTo>
                                <a:lnTo>
                                  <a:pt x="7772399" y="286161"/>
                                </a:lnTo>
                                <a:lnTo>
                                  <a:pt x="7772399" y="818088"/>
                                </a:lnTo>
                                <a:lnTo>
                                  <a:pt x="7711264" y="867136"/>
                                </a:lnTo>
                                <a:cubicBezTo>
                                  <a:pt x="7281414" y="1191592"/>
                                  <a:pt x="6541630" y="1468361"/>
                                  <a:pt x="5269821" y="1426991"/>
                                </a:cubicBezTo>
                                <a:cubicBezTo>
                                  <a:pt x="2817059" y="1347180"/>
                                  <a:pt x="1495859" y="219643"/>
                                  <a:pt x="104888" y="617964"/>
                                </a:cubicBezTo>
                                <a:lnTo>
                                  <a:pt x="0" y="652273"/>
                                </a:lnTo>
                                <a:lnTo>
                                  <a:pt x="0" y="418552"/>
                                </a:lnTo>
                                <a:lnTo>
                                  <a:pt x="85534" y="373257"/>
                                </a:lnTo>
                                <a:cubicBezTo>
                                  <a:pt x="470211" y="180883"/>
                                  <a:pt x="1026363" y="16154"/>
                                  <a:pt x="1811655" y="1429"/>
                                </a:cubicBezTo>
                                <a:cubicBezTo>
                                  <a:pt x="1880368" y="140"/>
                                  <a:pt x="1950835" y="0"/>
                                  <a:pt x="2023096" y="10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B2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578032"/>
                            <a:ext cx="7772399" cy="1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559040">
                                <a:moveTo>
                                  <a:pt x="7772399" y="0"/>
                                </a:moveTo>
                                <a:lnTo>
                                  <a:pt x="7772399" y="412769"/>
                                </a:lnTo>
                                <a:lnTo>
                                  <a:pt x="7738050" y="462785"/>
                                </a:lnTo>
                                <a:cubicBezTo>
                                  <a:pt x="7402250" y="923316"/>
                                  <a:pt x="6646375" y="1459016"/>
                                  <a:pt x="4945333" y="1501893"/>
                                </a:cubicBezTo>
                                <a:cubicBezTo>
                                  <a:pt x="2677285" y="1559040"/>
                                  <a:pt x="1287148" y="703798"/>
                                  <a:pt x="8926" y="861830"/>
                                </a:cubicBezTo>
                                <a:lnTo>
                                  <a:pt x="0" y="863241"/>
                                </a:lnTo>
                                <a:lnTo>
                                  <a:pt x="0" y="489423"/>
                                </a:lnTo>
                                <a:lnTo>
                                  <a:pt x="54161" y="469232"/>
                                </a:lnTo>
                                <a:cubicBezTo>
                                  <a:pt x="759083" y="224625"/>
                                  <a:pt x="1813251" y="94573"/>
                                  <a:pt x="3364573" y="350351"/>
                                </a:cubicBezTo>
                                <a:cubicBezTo>
                                  <a:pt x="6109221" y="802789"/>
                                  <a:pt x="7306354" y="316339"/>
                                  <a:pt x="7762637" y="6922"/>
                                </a:cubicBezTo>
                                <a:lnTo>
                                  <a:pt x="7772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34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28040" y="4110736"/>
                            <a:ext cx="1761744" cy="1143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08510" y="4694780"/>
                            <a:ext cx="2085975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1556" style="width:612pt;height:421.418pt;position:absolute;mso-position-horizontal-relative:page;mso-position-horizontal:absolute;margin-left:0pt;mso-position-vertical-relative:page;margin-top:0pt;" coordsize="77724,53520">
                <v:shape id="Picture 2024" style="position:absolute;width:77724;height:33649;left:0;top:0;" filled="f">
                  <v:imagedata r:id="rId8"/>
                </v:shape>
                <v:shape id="Shape 13" style="position:absolute;width:74840;height:15334;left:0;top:28259;" coordsize="7484099,1533432" path="m7484099,100244c7484099,100244,7372852,1533432,4714050,1455313c2553784,1391821,1349830,437280,128922,695323l0,727575l0,492460l79493,454752c692383,181366,1720566,0,3381741,368083c6704099,1104139,7484099,100244,7484099,100244x">
                  <v:stroke on="false" weight="0pt" color="#000000" opacity="0" miterlimit="10" joinstyle="miter" endcap="flat"/>
                  <v:fill on="true" color="#f28424"/>
                </v:shape>
                <v:shape id="Shape 16" style="position:absolute;width:77723;height:14683;left:0;top:26062;" coordsize="7772399,1468361" path="m2023096,1090c2528918,8723,3122597,76647,3817382,232978c5972640,717852,7150325,528585,7751492,294783l7772399,286161l7772399,818088l7711264,867136c7281414,1191592,6541630,1468361,5269821,1426991c2817059,1347180,1495859,219643,104888,617964l0,652273l0,418552l85534,373257c470211,180883,1026363,16154,1811655,1429c1880368,140,1950835,0,2023096,1090x">
                  <v:stroke on="false" weight="0pt" color="#000000" opacity="0" miterlimit="10" joinstyle="miter" endcap="flat"/>
                  <v:fill on="true" color="#34b2ba"/>
                </v:shape>
                <v:shape id="Shape 19" style="position:absolute;width:77723;height:15590;left:0;top:25780;" coordsize="7772399,1559040" path="m7772399,0l7772399,412769l7738050,462785c7402250,923316,6646375,1459016,4945333,1501893c2677285,1559040,1287148,703798,8926,861830l0,863241l0,489423l54161,469232c759083,224625,1813251,94573,3364573,350351c6109221,802789,7306354,316339,7762637,6922l7772399,0x">
                  <v:stroke on="false" weight="0pt" color="#000000" opacity="0" miterlimit="10" joinstyle="miter" endcap="flat"/>
                  <v:fill on="true" color="#1c345c"/>
                </v:shape>
                <v:shape id="Picture 2025" style="position:absolute;width:17617;height:11430;left:8280;top:41107;" filled="f">
                  <v:imagedata r:id="rId9"/>
                </v:shape>
                <v:shape id="Picture 23" style="position:absolute;width:20859;height:6572;left:49085;top:46947;" filled="f">
                  <v:imagedata r:id="rId10"/>
                </v:shape>
                <w10:wrap type="topAndBottom"/>
              </v:group>
            </w:pict>
          </mc:Fallback>
        </mc:AlternateContent>
      </w:r>
      <w:r w:rsidR="00F16BAC" w:rsidRPr="628E8995">
        <w:rPr>
          <w:rFonts w:asciiTheme="minorHAnsi" w:hAnsiTheme="minorHAnsi" w:cstheme="minorBidi"/>
        </w:rPr>
        <w:t xml:space="preserve"> </w:t>
      </w:r>
      <w:r w:rsidRPr="628E8995">
        <w:rPr>
          <w:rFonts w:asciiTheme="minorHAnsi" w:eastAsia="Calibri" w:hAnsiTheme="minorHAnsi" w:cstheme="minorBidi"/>
        </w:rPr>
        <w:t>Grief. As the leader in funding grief support</w:t>
      </w:r>
      <w:r w:rsidR="00F16BAC" w:rsidRPr="628E8995">
        <w:rPr>
          <w:rFonts w:asciiTheme="minorHAnsi" w:eastAsia="Calibri" w:hAnsiTheme="minorHAnsi" w:cstheme="minorBidi"/>
        </w:rPr>
        <w:t xml:space="preserve"> </w:t>
      </w:r>
      <w:r w:rsidRPr="628E8995">
        <w:rPr>
          <w:rFonts w:asciiTheme="minorHAnsi" w:eastAsia="Calibri" w:hAnsiTheme="minorHAnsi" w:cstheme="minorBidi"/>
        </w:rPr>
        <w:t>services for children in the Pacific Northwest, SCF is hosting a conference that provides continuing</w:t>
      </w:r>
      <w:r w:rsidR="00F16BAC" w:rsidRPr="628E8995">
        <w:rPr>
          <w:rFonts w:asciiTheme="minorHAnsi" w:eastAsia="Calibri" w:hAnsiTheme="minorHAnsi" w:cstheme="minorBidi"/>
        </w:rPr>
        <w:t xml:space="preserve"> </w:t>
      </w:r>
      <w:r w:rsidRPr="628E8995">
        <w:rPr>
          <w:rFonts w:asciiTheme="minorHAnsi" w:eastAsia="Calibri" w:hAnsiTheme="minorHAnsi" w:cstheme="minorBidi"/>
        </w:rPr>
        <w:t>professional development credits while building community, sharing ideas and learning together.</w:t>
      </w:r>
    </w:p>
    <w:p w14:paraId="431C1119" w14:textId="77777777" w:rsidR="00F16BAC" w:rsidRPr="00583E16" w:rsidRDefault="00F16BAC" w:rsidP="628E8995">
      <w:pPr>
        <w:spacing w:after="70" w:line="360" w:lineRule="auto"/>
        <w:ind w:left="-15" w:right="8" w:firstLine="0"/>
        <w:rPr>
          <w:rFonts w:asciiTheme="minorHAnsi" w:hAnsiTheme="minorHAnsi" w:cstheme="minorBidi"/>
        </w:rPr>
      </w:pPr>
    </w:p>
    <w:p w14:paraId="1F465BF3" w14:textId="58EA9421" w:rsidR="00F16BAC" w:rsidRPr="00583E16" w:rsidRDefault="628E8995" w:rsidP="628E8995">
      <w:pPr>
        <w:spacing w:after="70" w:line="360" w:lineRule="auto"/>
        <w:ind w:left="-5" w:right="8"/>
        <w:rPr>
          <w:rFonts w:asciiTheme="minorHAnsi" w:eastAsia="Calibri" w:hAnsiTheme="minorHAnsi" w:cstheme="minorBidi"/>
        </w:rPr>
      </w:pPr>
      <w:r w:rsidRPr="628E8995">
        <w:rPr>
          <w:rFonts w:asciiTheme="minorHAnsi" w:eastAsia="Calibri" w:hAnsiTheme="minorHAnsi" w:cstheme="minorBidi"/>
        </w:rPr>
        <w:t xml:space="preserve">This </w:t>
      </w:r>
      <w:r w:rsidR="00050A25">
        <w:rPr>
          <w:rFonts w:asciiTheme="minorHAnsi" w:eastAsia="Calibri" w:hAnsiTheme="minorHAnsi" w:cstheme="minorBidi"/>
        </w:rPr>
        <w:t>one-day</w:t>
      </w:r>
      <w:r w:rsidRPr="628E8995">
        <w:rPr>
          <w:rFonts w:asciiTheme="minorHAnsi" w:eastAsia="Calibri" w:hAnsiTheme="minorHAnsi" w:cstheme="minorBidi"/>
        </w:rPr>
        <w:t xml:space="preserve"> conference will be held on February </w:t>
      </w:r>
      <w:r w:rsidR="00742D30">
        <w:rPr>
          <w:rFonts w:asciiTheme="minorHAnsi" w:eastAsia="Calibri" w:hAnsiTheme="minorHAnsi" w:cstheme="minorBidi"/>
        </w:rPr>
        <w:t>5,</w:t>
      </w:r>
      <w:r w:rsidRPr="628E8995">
        <w:rPr>
          <w:rFonts w:asciiTheme="minorHAnsi" w:eastAsia="Calibri" w:hAnsiTheme="minorHAnsi" w:cstheme="minorBidi"/>
        </w:rPr>
        <w:t xml:space="preserve"> 202</w:t>
      </w:r>
      <w:r w:rsidR="00742D30">
        <w:rPr>
          <w:rFonts w:asciiTheme="minorHAnsi" w:eastAsia="Calibri" w:hAnsiTheme="minorHAnsi" w:cstheme="minorBidi"/>
        </w:rPr>
        <w:t>4</w:t>
      </w:r>
      <w:r w:rsidRPr="628E8995">
        <w:rPr>
          <w:rFonts w:asciiTheme="minorHAnsi" w:eastAsia="Calibri" w:hAnsiTheme="minorHAnsi" w:cstheme="minorBidi"/>
        </w:rPr>
        <w:t xml:space="preserve"> and will focus on the theme of Connecting Children to Support. The conference is designed for support providers such as clinicians, therapists and counselors, therapists-in-training, teachers, school staff, and healthcare workers.</w:t>
      </w:r>
    </w:p>
    <w:p w14:paraId="5B83101A" w14:textId="77777777" w:rsidR="00F16BAC" w:rsidRPr="00583E16" w:rsidRDefault="00F16BAC" w:rsidP="00F16BAC">
      <w:pPr>
        <w:spacing w:after="160" w:line="360" w:lineRule="auto"/>
        <w:ind w:left="0" w:firstLine="0"/>
        <w:rPr>
          <w:rFonts w:asciiTheme="minorHAnsi" w:eastAsia="Calibri" w:hAnsiTheme="minorHAnsi" w:cstheme="minorHAnsi"/>
        </w:rPr>
      </w:pPr>
      <w:r w:rsidRPr="00583E16">
        <w:rPr>
          <w:rFonts w:asciiTheme="minorHAnsi" w:eastAsia="Calibri" w:hAnsiTheme="minorHAnsi" w:cstheme="minorHAnsi"/>
        </w:rPr>
        <w:br w:type="page"/>
      </w:r>
    </w:p>
    <w:p w14:paraId="69423332" w14:textId="77777777" w:rsidR="00541C82" w:rsidRPr="00583E16" w:rsidRDefault="00583E16" w:rsidP="00F16BAC">
      <w:pPr>
        <w:pStyle w:val="Heading1"/>
        <w:spacing w:after="97" w:line="360" w:lineRule="auto"/>
        <w:ind w:left="0" w:firstLine="0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lastRenderedPageBreak/>
        <w:t>Symposium and Workshop-Style Session Presentations</w:t>
      </w:r>
    </w:p>
    <w:p w14:paraId="2BB2EEAA" w14:textId="77777777" w:rsidR="00541C82" w:rsidRPr="00583E16" w:rsidRDefault="00583E16" w:rsidP="001370B2">
      <w:pPr>
        <w:spacing w:after="360" w:line="276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 xml:space="preserve">SCF invites you to lend your expertise by participating as a full symposium or workshop session presenter. </w:t>
      </w:r>
    </w:p>
    <w:p w14:paraId="0A7AC002" w14:textId="3FB9A5AD" w:rsidR="00541C82" w:rsidRPr="00583E16" w:rsidRDefault="6CF8B442" w:rsidP="6CF8B442">
      <w:pPr>
        <w:spacing w:after="360" w:line="276" w:lineRule="auto"/>
        <w:rPr>
          <w:rFonts w:asciiTheme="minorHAnsi" w:hAnsiTheme="minorHAnsi" w:cstheme="minorBidi"/>
        </w:rPr>
      </w:pPr>
      <w:r w:rsidRPr="6CF8B442">
        <w:rPr>
          <w:rFonts w:asciiTheme="minorHAnsi" w:hAnsiTheme="minorHAnsi" w:cstheme="minorBidi"/>
        </w:rPr>
        <w:t xml:space="preserve">To offer CEU credits to attendees, symposium speakers must have obtained a Master’s degree or higher. Some workshop sessions may be offered by speakers without a Master’s degree. </w:t>
      </w:r>
    </w:p>
    <w:p w14:paraId="2224D4CF" w14:textId="77777777" w:rsidR="00541C82" w:rsidRPr="00583E16" w:rsidRDefault="00583E16" w:rsidP="001370B2">
      <w:pPr>
        <w:spacing w:after="360" w:line="276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 xml:space="preserve">Panels and interactive workshops are welcome – we love creativity and hands on experiences! Sessions are an hour to an hour and a half in length, so please note your preferred session length. </w:t>
      </w:r>
    </w:p>
    <w:p w14:paraId="7A04D8FF" w14:textId="43E0A4F9" w:rsidR="00541C82" w:rsidRPr="00583E16" w:rsidRDefault="628E8995" w:rsidP="628E8995">
      <w:pPr>
        <w:spacing w:after="649" w:line="276" w:lineRule="auto"/>
        <w:ind w:left="0" w:firstLine="0"/>
        <w:rPr>
          <w:rFonts w:asciiTheme="minorHAnsi" w:hAnsiTheme="minorHAnsi" w:cstheme="minorBidi"/>
        </w:rPr>
      </w:pPr>
      <w:r w:rsidRPr="628E8995">
        <w:rPr>
          <w:rFonts w:asciiTheme="minorHAnsi" w:hAnsiTheme="minorHAnsi" w:cstheme="minorBidi"/>
          <w:b/>
          <w:bCs/>
        </w:rPr>
        <w:t xml:space="preserve">Presentation applications are due Friday, </w:t>
      </w:r>
      <w:r w:rsidR="009C1FE5">
        <w:rPr>
          <w:rFonts w:asciiTheme="minorHAnsi" w:hAnsiTheme="minorHAnsi" w:cstheme="minorBidi"/>
          <w:b/>
          <w:bCs/>
        </w:rPr>
        <w:t>November 1</w:t>
      </w:r>
      <w:r w:rsidR="00742D30">
        <w:rPr>
          <w:rFonts w:asciiTheme="minorHAnsi" w:hAnsiTheme="minorHAnsi" w:cstheme="minorBidi"/>
          <w:b/>
          <w:bCs/>
        </w:rPr>
        <w:t>7</w:t>
      </w:r>
      <w:r w:rsidRPr="628E8995">
        <w:rPr>
          <w:rFonts w:asciiTheme="minorHAnsi" w:hAnsiTheme="minorHAnsi" w:cstheme="minorBidi"/>
          <w:b/>
          <w:bCs/>
        </w:rPr>
        <w:t>, 202</w:t>
      </w:r>
      <w:r w:rsidR="00742D30">
        <w:rPr>
          <w:rFonts w:asciiTheme="minorHAnsi" w:hAnsiTheme="minorHAnsi" w:cstheme="minorBidi"/>
          <w:b/>
          <w:bCs/>
        </w:rPr>
        <w:t>3</w:t>
      </w:r>
      <w:r w:rsidRPr="628E8995">
        <w:rPr>
          <w:rFonts w:asciiTheme="minorHAnsi" w:hAnsiTheme="minorHAnsi" w:cstheme="minorBidi"/>
          <w:b/>
          <w:bCs/>
        </w:rPr>
        <w:t>. Materials for selected presentation will be due</w:t>
      </w:r>
      <w:r w:rsidR="00050A25">
        <w:rPr>
          <w:rFonts w:asciiTheme="minorHAnsi" w:hAnsiTheme="minorHAnsi" w:cstheme="minorBidi"/>
          <w:b/>
          <w:bCs/>
        </w:rPr>
        <w:t xml:space="preserve"> January 5</w:t>
      </w:r>
      <w:r w:rsidRPr="628E8995">
        <w:rPr>
          <w:rFonts w:asciiTheme="minorHAnsi" w:hAnsiTheme="minorHAnsi" w:cstheme="minorBidi"/>
          <w:b/>
          <w:bCs/>
        </w:rPr>
        <w:t>, 202</w:t>
      </w:r>
      <w:r w:rsidR="00050A25">
        <w:rPr>
          <w:rFonts w:asciiTheme="minorHAnsi" w:hAnsiTheme="minorHAnsi" w:cstheme="minorBidi"/>
          <w:b/>
          <w:bCs/>
        </w:rPr>
        <w:t>4</w:t>
      </w:r>
      <w:r w:rsidRPr="628E8995">
        <w:rPr>
          <w:rFonts w:asciiTheme="minorHAnsi" w:hAnsiTheme="minorHAnsi" w:cstheme="minorBidi"/>
          <w:b/>
          <w:bCs/>
        </w:rPr>
        <w:t>.</w:t>
      </w:r>
      <w:r w:rsidRPr="628E8995">
        <w:rPr>
          <w:rFonts w:asciiTheme="minorHAnsi" w:hAnsiTheme="minorHAnsi" w:cstheme="minorBidi"/>
        </w:rPr>
        <w:t xml:space="preserve"> Note: The conference registration fee will be waived for presenters.</w:t>
      </w:r>
    </w:p>
    <w:p w14:paraId="270599A3" w14:textId="77777777" w:rsidR="00541C82" w:rsidRPr="00583E16" w:rsidRDefault="00583E16" w:rsidP="00F16BAC">
      <w:pPr>
        <w:pStyle w:val="Heading1"/>
        <w:spacing w:after="121" w:line="360" w:lineRule="auto"/>
        <w:ind w:left="-5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>Goals for Conference</w:t>
      </w:r>
    </w:p>
    <w:p w14:paraId="1CE3C461" w14:textId="33FC3CDA" w:rsidR="00541C82" w:rsidRPr="00583E16" w:rsidRDefault="00583E16" w:rsidP="00F16BA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>Provide education on best practices through the exchange of timely clinical information, programs, advances in research, and successful ideas for children’s grief support programming</w:t>
      </w:r>
    </w:p>
    <w:p w14:paraId="35717FE1" w14:textId="77777777" w:rsidR="001370B2" w:rsidRDefault="00583E16" w:rsidP="00F16BAC">
      <w:pPr>
        <w:pStyle w:val="ListParagraph"/>
        <w:numPr>
          <w:ilvl w:val="0"/>
          <w:numId w:val="1"/>
        </w:numPr>
        <w:spacing w:line="360" w:lineRule="auto"/>
        <w:ind w:right="935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>Provide practical tools and skills to use when supporting grieving children</w:t>
      </w:r>
    </w:p>
    <w:p w14:paraId="68F17F9F" w14:textId="0981038A" w:rsidR="00541C82" w:rsidRPr="00583E16" w:rsidRDefault="00583E16" w:rsidP="00F16BAC">
      <w:pPr>
        <w:pStyle w:val="ListParagraph"/>
        <w:numPr>
          <w:ilvl w:val="0"/>
          <w:numId w:val="1"/>
        </w:numPr>
        <w:spacing w:line="360" w:lineRule="auto"/>
        <w:ind w:right="935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>Create a space for sharing, connecting, and learning from each other and diverse perspectives</w:t>
      </w:r>
    </w:p>
    <w:p w14:paraId="13B9F46B" w14:textId="77777777" w:rsidR="00541C82" w:rsidRPr="00583E16" w:rsidRDefault="00583E16" w:rsidP="00F16BAC">
      <w:pPr>
        <w:pStyle w:val="ListParagraph"/>
        <w:numPr>
          <w:ilvl w:val="0"/>
          <w:numId w:val="1"/>
        </w:numPr>
        <w:spacing w:after="562" w:line="360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>Promote networking and support among colleagues</w:t>
      </w:r>
    </w:p>
    <w:p w14:paraId="5FE277CC" w14:textId="77777777" w:rsidR="00541C82" w:rsidRPr="00583E16" w:rsidRDefault="00583E16" w:rsidP="00F16BAC">
      <w:pPr>
        <w:pStyle w:val="Heading1"/>
        <w:spacing w:after="135" w:line="360" w:lineRule="auto"/>
        <w:ind w:left="-5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>Requested Topics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3C3C4E" w:rsidRPr="00583E16" w14:paraId="596E0736" w14:textId="77777777" w:rsidTr="003C3C4E">
        <w:tc>
          <w:tcPr>
            <w:tcW w:w="3256" w:type="dxa"/>
          </w:tcPr>
          <w:p w14:paraId="58718CEB" w14:textId="77777777" w:rsidR="003C3C4E" w:rsidRPr="00583E16" w:rsidRDefault="003C3C4E" w:rsidP="003C3C4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  <w:b/>
              </w:rPr>
              <w:t>Type of Death</w:t>
            </w:r>
          </w:p>
          <w:p w14:paraId="1737F767" w14:textId="77777777" w:rsidR="003C3C4E" w:rsidRPr="00583E16" w:rsidRDefault="003C3C4E" w:rsidP="003C3C4E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Suicide</w:t>
            </w:r>
          </w:p>
          <w:p w14:paraId="591AF0B3" w14:textId="77777777" w:rsidR="003C3C4E" w:rsidRPr="00583E16" w:rsidRDefault="003C3C4E" w:rsidP="003C3C4E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Addiction</w:t>
            </w:r>
          </w:p>
          <w:p w14:paraId="7990EB66" w14:textId="77777777" w:rsidR="003C3C4E" w:rsidRPr="00583E16" w:rsidRDefault="003C3C4E" w:rsidP="003C3C4E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Prolonged illness</w:t>
            </w:r>
          </w:p>
          <w:p w14:paraId="47A3A93B" w14:textId="77777777" w:rsidR="003C3C4E" w:rsidRPr="00583E16" w:rsidRDefault="003C3C4E" w:rsidP="003C3C4E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Anticipatory grief</w:t>
            </w:r>
          </w:p>
          <w:p w14:paraId="6CA01BF7" w14:textId="2EAB3CBA" w:rsidR="003C3C4E" w:rsidRPr="00583E16" w:rsidRDefault="003C3C4E" w:rsidP="003C3C4E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Sudden/other traumatic death</w:t>
            </w:r>
          </w:p>
          <w:p w14:paraId="7A4567CF" w14:textId="77777777" w:rsidR="003C3C4E" w:rsidRPr="00583E16" w:rsidRDefault="003C3C4E" w:rsidP="003C3C4E">
            <w:pPr>
              <w:pStyle w:val="ListParagraph"/>
              <w:spacing w:after="0" w:line="240" w:lineRule="atLeast"/>
              <w:ind w:firstLine="0"/>
              <w:rPr>
                <w:rFonts w:asciiTheme="minorHAnsi" w:hAnsiTheme="minorHAnsi" w:cstheme="minorHAnsi"/>
              </w:rPr>
            </w:pPr>
          </w:p>
          <w:p w14:paraId="6C74791A" w14:textId="77777777" w:rsidR="003C3C4E" w:rsidRPr="00583E16" w:rsidRDefault="003C3C4E" w:rsidP="003C3C4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  <w:b/>
              </w:rPr>
              <w:t>Building Community</w:t>
            </w:r>
          </w:p>
          <w:p w14:paraId="4B56CF8F" w14:textId="77777777" w:rsidR="003C3C4E" w:rsidRPr="00583E16" w:rsidRDefault="003C3C4E" w:rsidP="003C3C4E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Culturally relevant programming</w:t>
            </w:r>
          </w:p>
          <w:p w14:paraId="5C657731" w14:textId="77777777" w:rsidR="003C3C4E" w:rsidRPr="00583E16" w:rsidRDefault="003C3C4E" w:rsidP="003C3C4E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Accessibility of services</w:t>
            </w:r>
          </w:p>
          <w:p w14:paraId="3B9A6F43" w14:textId="77777777" w:rsidR="003C3C4E" w:rsidRPr="00583E16" w:rsidRDefault="003C3C4E" w:rsidP="003C3C4E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Services in community locations</w:t>
            </w:r>
          </w:p>
          <w:p w14:paraId="249F6849" w14:textId="77777777" w:rsidR="003C3C4E" w:rsidRPr="00583E16" w:rsidRDefault="003C3C4E" w:rsidP="00F16BAC">
            <w:pPr>
              <w:tabs>
                <w:tab w:val="center" w:pos="4407"/>
              </w:tabs>
              <w:spacing w:after="0"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56" w:type="dxa"/>
          </w:tcPr>
          <w:p w14:paraId="4B74FE15" w14:textId="77777777" w:rsidR="003C3C4E" w:rsidRPr="00583E16" w:rsidRDefault="003C3C4E" w:rsidP="003C3C4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  <w:b/>
              </w:rPr>
              <w:t>Self-Care</w:t>
            </w:r>
          </w:p>
          <w:p w14:paraId="62443E46" w14:textId="77777777" w:rsidR="003C3C4E" w:rsidRPr="00583E16" w:rsidRDefault="003C3C4E" w:rsidP="003C3C4E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Organizational self-care</w:t>
            </w:r>
          </w:p>
          <w:p w14:paraId="6F15EAAE" w14:textId="77777777" w:rsidR="003C3C4E" w:rsidRPr="00583E16" w:rsidRDefault="003C3C4E" w:rsidP="003C3C4E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Tools for adults/children</w:t>
            </w:r>
          </w:p>
          <w:p w14:paraId="36D8FA97" w14:textId="77777777" w:rsidR="003C3C4E" w:rsidRPr="00583E16" w:rsidRDefault="003C3C4E" w:rsidP="003C3C4E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How grief manifests in the body</w:t>
            </w:r>
          </w:p>
          <w:p w14:paraId="3D12438E" w14:textId="77777777" w:rsidR="003C3C4E" w:rsidRPr="00583E16" w:rsidRDefault="003C3C4E" w:rsidP="003C3C4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  <w:p w14:paraId="00B66A1E" w14:textId="77777777" w:rsidR="003C3C4E" w:rsidRPr="00583E16" w:rsidRDefault="003C3C4E" w:rsidP="003C3C4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  <w:b/>
              </w:rPr>
              <w:t>Research and Data</w:t>
            </w:r>
          </w:p>
          <w:p w14:paraId="2FA0C488" w14:textId="77777777" w:rsidR="003C3C4E" w:rsidRPr="00583E16" w:rsidRDefault="003C3C4E" w:rsidP="003C3C4E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Historically marginalized populations (race, ethnicity, sexual orientation, immigrant communities, etc.)</w:t>
            </w:r>
          </w:p>
          <w:p w14:paraId="127088B2" w14:textId="6BA4E2E1" w:rsidR="003C3C4E" w:rsidRPr="00583E16" w:rsidRDefault="003C3C4E" w:rsidP="003C3C4E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Programs in multiple languages</w:t>
            </w:r>
          </w:p>
        </w:tc>
        <w:tc>
          <w:tcPr>
            <w:tcW w:w="3256" w:type="dxa"/>
          </w:tcPr>
          <w:p w14:paraId="7874DBF0" w14:textId="234A839A" w:rsidR="003C3C4E" w:rsidRPr="00583E16" w:rsidRDefault="003C3C4E" w:rsidP="003C3C4E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  <w:b/>
              </w:rPr>
              <w:t>Practices for Support</w:t>
            </w:r>
          </w:p>
          <w:p w14:paraId="3626772E" w14:textId="77777777" w:rsidR="003C3C4E" w:rsidRPr="00583E16" w:rsidRDefault="003C3C4E" w:rsidP="003C3C4E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Theme="minorHAnsi" w:hAnsiTheme="minorHAnsi" w:cstheme="minorHAnsi"/>
              </w:rPr>
            </w:pPr>
            <w:r w:rsidRPr="00583E16">
              <w:rPr>
                <w:rFonts w:asciiTheme="minorHAnsi" w:hAnsiTheme="minorHAnsi" w:cstheme="minorHAnsi"/>
              </w:rPr>
              <w:t>Art and play therapy</w:t>
            </w:r>
          </w:p>
          <w:p w14:paraId="7CB6F640" w14:textId="77777777" w:rsidR="003C3C4E" w:rsidRPr="00583E16" w:rsidRDefault="003C3C4E" w:rsidP="003C3C4E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</w:rPr>
              <w:t xml:space="preserve">Support when time is limited: small ways to be mindful of youth and provide support </w:t>
            </w:r>
          </w:p>
          <w:p w14:paraId="699A217F" w14:textId="77777777" w:rsidR="003C3C4E" w:rsidRPr="00583E16" w:rsidRDefault="003C3C4E" w:rsidP="003C3C4E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</w:rPr>
              <w:t>Support for grieving guardians</w:t>
            </w:r>
          </w:p>
          <w:p w14:paraId="0238D5C8" w14:textId="42058A5E" w:rsidR="003C3C4E" w:rsidRPr="00583E16" w:rsidRDefault="003C3C4E" w:rsidP="003C3C4E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Theme="minorHAnsi" w:hAnsiTheme="minorHAnsi" w:cstheme="minorHAnsi"/>
                <w:b/>
              </w:rPr>
            </w:pPr>
            <w:r w:rsidRPr="00583E16">
              <w:rPr>
                <w:rFonts w:asciiTheme="minorHAnsi" w:hAnsiTheme="minorHAnsi" w:cstheme="minorHAnsi"/>
              </w:rPr>
              <w:t>How schools can best provide support after a student has experienced a death</w:t>
            </w:r>
          </w:p>
        </w:tc>
      </w:tr>
    </w:tbl>
    <w:p w14:paraId="0CA7258B" w14:textId="05C9CF03" w:rsidR="00541C82" w:rsidRPr="00583E16" w:rsidRDefault="00583E16" w:rsidP="003C3C4E">
      <w:pPr>
        <w:pStyle w:val="Heading1"/>
        <w:spacing w:line="360" w:lineRule="auto"/>
        <w:ind w:left="0" w:firstLine="0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lastRenderedPageBreak/>
        <w:t>Presenter Application</w:t>
      </w:r>
    </w:p>
    <w:p w14:paraId="03580736" w14:textId="53C44CF8" w:rsidR="00541C82" w:rsidRPr="00583E16" w:rsidRDefault="628E8995" w:rsidP="628E8995">
      <w:pPr>
        <w:spacing w:after="74" w:line="360" w:lineRule="auto"/>
        <w:ind w:left="-5"/>
        <w:rPr>
          <w:rFonts w:asciiTheme="minorHAnsi" w:hAnsiTheme="minorHAnsi" w:cstheme="minorBidi"/>
        </w:rPr>
      </w:pPr>
      <w:r w:rsidRPr="628E8995">
        <w:rPr>
          <w:rFonts w:asciiTheme="minorHAnsi" w:hAnsiTheme="minorHAnsi" w:cstheme="minorBidi"/>
          <w:color w:val="F28424"/>
        </w:rPr>
        <w:t xml:space="preserve">Applications are due Friday, </w:t>
      </w:r>
      <w:r w:rsidR="00822FCE">
        <w:rPr>
          <w:rFonts w:asciiTheme="minorHAnsi" w:hAnsiTheme="minorHAnsi" w:cstheme="minorBidi"/>
          <w:color w:val="F28424"/>
        </w:rPr>
        <w:t>November 1</w:t>
      </w:r>
      <w:r w:rsidR="00742D30">
        <w:rPr>
          <w:rFonts w:asciiTheme="minorHAnsi" w:hAnsiTheme="minorHAnsi" w:cstheme="minorBidi"/>
          <w:color w:val="F28424"/>
        </w:rPr>
        <w:t>7</w:t>
      </w:r>
      <w:r w:rsidRPr="628E8995">
        <w:rPr>
          <w:rFonts w:asciiTheme="minorHAnsi" w:hAnsiTheme="minorHAnsi" w:cstheme="minorBidi"/>
          <w:color w:val="F28424"/>
        </w:rPr>
        <w:t>, 202</w:t>
      </w:r>
      <w:r w:rsidR="00742D30">
        <w:rPr>
          <w:rFonts w:asciiTheme="minorHAnsi" w:hAnsiTheme="minorHAnsi" w:cstheme="minorBidi"/>
          <w:color w:val="F28424"/>
        </w:rPr>
        <w:t>3</w:t>
      </w:r>
      <w:r w:rsidRPr="628E8995">
        <w:rPr>
          <w:rFonts w:asciiTheme="minorHAnsi" w:hAnsiTheme="minorHAnsi" w:cstheme="minorBidi"/>
          <w:color w:val="F28424"/>
        </w:rPr>
        <w:t>, by email to info@safecrossingsfoundation.org.</w:t>
      </w:r>
    </w:p>
    <w:p w14:paraId="6319618E" w14:textId="77777777" w:rsidR="00541C82" w:rsidRPr="00583E16" w:rsidRDefault="00583E16" w:rsidP="00F16BAC">
      <w:pPr>
        <w:spacing w:after="434" w:line="360" w:lineRule="auto"/>
        <w:ind w:left="-5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  <w:color w:val="F28424"/>
        </w:rPr>
        <w:t xml:space="preserve">Contact Karen Schrantz with questions at 206-650-9368. </w:t>
      </w:r>
    </w:p>
    <w:p w14:paraId="487CEF77" w14:textId="2FAAD075" w:rsidR="003C3C4E" w:rsidRPr="00583E16" w:rsidRDefault="00583E16" w:rsidP="003C3C4E">
      <w:pPr>
        <w:spacing w:after="590" w:line="360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</w:rPr>
        <w:t xml:space="preserve">In submitting this application, you acknowledge the following: 1) agreement to meet all deadlines for materials; 2) presenters are responsible for all travel, lodging and other related expenses; 3) there is no compensation for presenting at the Conference; 3) if your presentation is selected, the information provided in this application, including your biographical information will be used in conference materials.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3C3C4E" w:rsidRPr="00583E16" w14:paraId="3D2D67FF" w14:textId="77777777" w:rsidTr="003C3C4E">
        <w:tc>
          <w:tcPr>
            <w:tcW w:w="9768" w:type="dxa"/>
          </w:tcPr>
          <w:p w14:paraId="78C87495" w14:textId="3E32E3AC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3C3C4E" w:rsidRPr="00583E16" w14:paraId="78D67C51" w14:textId="77777777" w:rsidTr="003C3C4E">
        <w:sdt>
          <w:sdtPr>
            <w:rPr>
              <w:rFonts w:asciiTheme="minorHAnsi" w:hAnsiTheme="minorHAnsi" w:cstheme="minorHAnsi"/>
              <w:sz w:val="24"/>
              <w:szCs w:val="24"/>
            </w:rPr>
            <w:id w:val="-1115054035"/>
            <w:placeholder>
              <w:docPart w:val="C088B0685E814DBBB791055C6E0E7787"/>
            </w:placeholder>
            <w:showingPlcHdr/>
          </w:sdtPr>
          <w:sdtContent>
            <w:tc>
              <w:tcPr>
                <w:tcW w:w="9768" w:type="dxa"/>
              </w:tcPr>
              <w:p w14:paraId="11FB82D2" w14:textId="21EAFF0D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DC554C6" w14:textId="7666F7FF" w:rsidR="00541C82" w:rsidRPr="00583E16" w:rsidRDefault="00541C82">
      <w:pPr>
        <w:spacing w:after="0" w:line="259" w:lineRule="auto"/>
        <w:ind w:left="0" w:right="-17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3C3C4E" w:rsidRPr="00583E16" w14:paraId="424AFB3F" w14:textId="77777777" w:rsidTr="003C3C4E">
        <w:tc>
          <w:tcPr>
            <w:tcW w:w="9768" w:type="dxa"/>
            <w:gridSpan w:val="3"/>
          </w:tcPr>
          <w:p w14:paraId="605F479B" w14:textId="1324591B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3C3C4E" w:rsidRPr="00583E16" w14:paraId="1534311F" w14:textId="77777777" w:rsidTr="003C3C4E">
        <w:sdt>
          <w:sdtPr>
            <w:rPr>
              <w:rFonts w:asciiTheme="minorHAnsi" w:hAnsiTheme="minorHAnsi" w:cstheme="minorHAnsi"/>
              <w:sz w:val="24"/>
              <w:szCs w:val="24"/>
            </w:rPr>
            <w:id w:val="-832911510"/>
            <w:placeholder>
              <w:docPart w:val="5D3342492B324DB5BFF8E82AB7373C8B"/>
            </w:placeholder>
            <w:showingPlcHdr/>
          </w:sdtPr>
          <w:sdtContent>
            <w:tc>
              <w:tcPr>
                <w:tcW w:w="9768" w:type="dxa"/>
                <w:gridSpan w:val="3"/>
              </w:tcPr>
              <w:p w14:paraId="112A0CA8" w14:textId="44296F3E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C3C4E" w:rsidRPr="00583E16" w14:paraId="061222BF" w14:textId="77777777" w:rsidTr="003C3C4E">
        <w:tc>
          <w:tcPr>
            <w:tcW w:w="3256" w:type="dxa"/>
          </w:tcPr>
          <w:p w14:paraId="0E4D2C8F" w14:textId="52D0A9C4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256" w:type="dxa"/>
          </w:tcPr>
          <w:p w14:paraId="41B32990" w14:textId="4379960F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3256" w:type="dxa"/>
          </w:tcPr>
          <w:p w14:paraId="114E5B52" w14:textId="268D0BC6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Zip</w:t>
            </w:r>
          </w:p>
        </w:tc>
      </w:tr>
      <w:tr w:rsidR="003C3C4E" w:rsidRPr="00583E16" w14:paraId="26FC1C6A" w14:textId="77777777" w:rsidTr="003C3C4E">
        <w:sdt>
          <w:sdtPr>
            <w:rPr>
              <w:rFonts w:asciiTheme="minorHAnsi" w:hAnsiTheme="minorHAnsi" w:cstheme="minorHAnsi"/>
              <w:sz w:val="24"/>
              <w:szCs w:val="24"/>
            </w:rPr>
            <w:id w:val="920683061"/>
            <w:placeholder>
              <w:docPart w:val="DefaultPlaceholder_-1854013440"/>
            </w:placeholder>
            <w:showingPlcHdr/>
          </w:sdtPr>
          <w:sdtContent>
            <w:tc>
              <w:tcPr>
                <w:tcW w:w="3256" w:type="dxa"/>
              </w:tcPr>
              <w:p w14:paraId="00CBB795" w14:textId="3B916672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569076471"/>
            <w:placeholder>
              <w:docPart w:val="DefaultPlaceholder_-1854013440"/>
            </w:placeholder>
            <w:showingPlcHdr/>
          </w:sdtPr>
          <w:sdtContent>
            <w:tc>
              <w:tcPr>
                <w:tcW w:w="3256" w:type="dxa"/>
              </w:tcPr>
              <w:p w14:paraId="224E7977" w14:textId="1FF7EE3C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631941649"/>
            <w:placeholder>
              <w:docPart w:val="DefaultPlaceholder_-1854013440"/>
            </w:placeholder>
            <w:showingPlcHdr/>
          </w:sdtPr>
          <w:sdtContent>
            <w:tc>
              <w:tcPr>
                <w:tcW w:w="3256" w:type="dxa"/>
              </w:tcPr>
              <w:p w14:paraId="379695C3" w14:textId="07CA825A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CFA9852" w14:textId="470BD7E5" w:rsidR="003C3C4E" w:rsidRPr="00583E16" w:rsidRDefault="003C3C4E">
      <w:pPr>
        <w:spacing w:after="0" w:line="259" w:lineRule="auto"/>
        <w:ind w:left="0" w:right="-17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4"/>
      </w:tblGrid>
      <w:tr w:rsidR="003C3C4E" w:rsidRPr="00583E16" w14:paraId="6ADB8441" w14:textId="77777777" w:rsidTr="003C3C4E">
        <w:tc>
          <w:tcPr>
            <w:tcW w:w="4884" w:type="dxa"/>
          </w:tcPr>
          <w:p w14:paraId="423102AF" w14:textId="01687EE1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884" w:type="dxa"/>
          </w:tcPr>
          <w:p w14:paraId="6D40D295" w14:textId="322E847C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</w:tr>
      <w:tr w:rsidR="003C3C4E" w:rsidRPr="00583E16" w14:paraId="6EC4FE75" w14:textId="77777777" w:rsidTr="003C3C4E">
        <w:sdt>
          <w:sdtPr>
            <w:rPr>
              <w:rFonts w:asciiTheme="minorHAnsi" w:hAnsiTheme="minorHAnsi" w:cstheme="minorHAnsi"/>
              <w:sz w:val="24"/>
              <w:szCs w:val="24"/>
            </w:rPr>
            <w:id w:val="1094910943"/>
            <w:placeholder>
              <w:docPart w:val="DefaultPlaceholder_-1854013440"/>
            </w:placeholder>
            <w:showingPlcHdr/>
          </w:sdtPr>
          <w:sdtContent>
            <w:tc>
              <w:tcPr>
                <w:tcW w:w="4884" w:type="dxa"/>
              </w:tcPr>
              <w:p w14:paraId="026DA1A3" w14:textId="6889A163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953616988"/>
            <w:placeholder>
              <w:docPart w:val="DefaultPlaceholder_-1854013440"/>
            </w:placeholder>
            <w:showingPlcHdr/>
          </w:sdtPr>
          <w:sdtContent>
            <w:tc>
              <w:tcPr>
                <w:tcW w:w="4884" w:type="dxa"/>
              </w:tcPr>
              <w:p w14:paraId="42DE8C9B" w14:textId="3C65A4C0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C3C4E" w:rsidRPr="00583E16" w14:paraId="47566F81" w14:textId="77777777" w:rsidTr="003C3C4E">
        <w:tc>
          <w:tcPr>
            <w:tcW w:w="4884" w:type="dxa"/>
          </w:tcPr>
          <w:p w14:paraId="7A98442F" w14:textId="77777777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62D1C8" w14:textId="226E3FF4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4884" w:type="dxa"/>
          </w:tcPr>
          <w:p w14:paraId="5446E728" w14:textId="77777777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16A21F" w14:textId="3E7CC964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</w:t>
            </w:r>
          </w:p>
        </w:tc>
      </w:tr>
      <w:tr w:rsidR="003C3C4E" w:rsidRPr="00583E16" w14:paraId="3308F5BC" w14:textId="77777777" w:rsidTr="003C3C4E">
        <w:sdt>
          <w:sdtPr>
            <w:rPr>
              <w:rFonts w:asciiTheme="minorHAnsi" w:hAnsiTheme="minorHAnsi" w:cstheme="minorHAnsi"/>
              <w:sz w:val="24"/>
              <w:szCs w:val="24"/>
            </w:rPr>
            <w:id w:val="500707204"/>
            <w:placeholder>
              <w:docPart w:val="DefaultPlaceholder_-1854013440"/>
            </w:placeholder>
            <w:showingPlcHdr/>
          </w:sdtPr>
          <w:sdtContent>
            <w:tc>
              <w:tcPr>
                <w:tcW w:w="4884" w:type="dxa"/>
              </w:tcPr>
              <w:p w14:paraId="5A008573" w14:textId="0E0C40D9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324196702"/>
            <w:placeholder>
              <w:docPart w:val="DefaultPlaceholder_-1854013440"/>
            </w:placeholder>
            <w:showingPlcHdr/>
          </w:sdtPr>
          <w:sdtContent>
            <w:tc>
              <w:tcPr>
                <w:tcW w:w="4884" w:type="dxa"/>
              </w:tcPr>
              <w:p w14:paraId="610C6198" w14:textId="0E5CA176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C3C4E" w:rsidRPr="00583E16" w14:paraId="0F654A0C" w14:textId="77777777" w:rsidTr="003C3C4E">
        <w:tc>
          <w:tcPr>
            <w:tcW w:w="9768" w:type="dxa"/>
            <w:gridSpan w:val="2"/>
          </w:tcPr>
          <w:p w14:paraId="475ABF87" w14:textId="77777777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D7AF1B" w14:textId="63441EB4" w:rsidR="003C3C4E" w:rsidRPr="00583E16" w:rsidRDefault="003C3C4E">
            <w:pPr>
              <w:spacing w:after="0" w:line="259" w:lineRule="auto"/>
              <w:ind w:left="0" w:right="-1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3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Accreditations</w:t>
            </w:r>
          </w:p>
        </w:tc>
      </w:tr>
      <w:tr w:rsidR="003C3C4E" w:rsidRPr="00583E16" w14:paraId="1ED168B9" w14:textId="77777777" w:rsidTr="003C3C4E">
        <w:sdt>
          <w:sdtPr>
            <w:rPr>
              <w:rFonts w:asciiTheme="minorHAnsi" w:hAnsiTheme="minorHAnsi" w:cstheme="minorHAnsi"/>
              <w:sz w:val="24"/>
              <w:szCs w:val="24"/>
            </w:rPr>
            <w:id w:val="1513424236"/>
            <w:placeholder>
              <w:docPart w:val="DefaultPlaceholder_-1854013440"/>
            </w:placeholder>
            <w:showingPlcHdr/>
          </w:sdtPr>
          <w:sdtContent>
            <w:tc>
              <w:tcPr>
                <w:tcW w:w="9768" w:type="dxa"/>
                <w:gridSpan w:val="2"/>
              </w:tcPr>
              <w:p w14:paraId="29578D38" w14:textId="2655624D" w:rsidR="003C3C4E" w:rsidRPr="00583E16" w:rsidRDefault="003C3C4E">
                <w:pPr>
                  <w:spacing w:after="0" w:line="259" w:lineRule="auto"/>
                  <w:ind w:left="0" w:right="-17" w:firstLine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83E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C66394B" w14:textId="34A8EE3B" w:rsidR="003C3C4E" w:rsidRPr="00583E16" w:rsidRDefault="003C3C4E">
      <w:pPr>
        <w:spacing w:after="0" w:line="259" w:lineRule="auto"/>
        <w:ind w:left="0" w:right="-17" w:firstLine="0"/>
        <w:rPr>
          <w:rFonts w:asciiTheme="minorHAnsi" w:hAnsiTheme="minorHAnsi" w:cstheme="minorHAnsi"/>
        </w:rPr>
      </w:pPr>
    </w:p>
    <w:p w14:paraId="1E1C92C5" w14:textId="77777777" w:rsidR="00583E16" w:rsidRPr="00583E16" w:rsidRDefault="00583E16" w:rsidP="00583E16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  <w:b/>
        </w:rPr>
        <w:t xml:space="preserve">Brief Biography; if a panel, include all presenters </w:t>
      </w:r>
      <w:r w:rsidRPr="00583E16">
        <w:rPr>
          <w:rFonts w:asciiTheme="minorHAnsi" w:hAnsiTheme="minorHAnsi" w:cstheme="minorHAnsi"/>
        </w:rPr>
        <w:t xml:space="preserve">(to be included in materials): </w:t>
      </w:r>
    </w:p>
    <w:sdt>
      <w:sdtPr>
        <w:rPr>
          <w:rFonts w:asciiTheme="minorHAnsi" w:hAnsiTheme="minorHAnsi" w:cstheme="minorHAnsi"/>
        </w:rPr>
        <w:id w:val="-12691379"/>
        <w:placeholder>
          <w:docPart w:val="DefaultPlaceholder_-1854013440"/>
        </w:placeholder>
        <w:showingPlcHdr/>
      </w:sdtPr>
      <w:sdtContent>
        <w:p w14:paraId="49374571" w14:textId="6C81D949" w:rsidR="00583E16" w:rsidRPr="00583E16" w:rsidRDefault="00583E16" w:rsidP="00583E16">
          <w:pPr>
            <w:ind w:firstLine="710"/>
            <w:rPr>
              <w:rFonts w:asciiTheme="minorHAnsi" w:hAnsiTheme="minorHAnsi" w:cstheme="minorHAnsi"/>
            </w:rPr>
          </w:pPr>
          <w:r w:rsidRPr="00D526DB">
            <w:rPr>
              <w:rStyle w:val="PlaceholderText"/>
            </w:rPr>
            <w:t>Click or tap here to enter text.</w:t>
          </w:r>
        </w:p>
      </w:sdtContent>
    </w:sdt>
    <w:p w14:paraId="686FCA87" w14:textId="77777777" w:rsidR="00583E16" w:rsidRPr="00583E16" w:rsidRDefault="00583E16" w:rsidP="00583E16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  <w:b/>
        </w:rPr>
        <w:t xml:space="preserve">Presentation Title: </w:t>
      </w:r>
    </w:p>
    <w:sdt>
      <w:sdtPr>
        <w:rPr>
          <w:rFonts w:asciiTheme="minorHAnsi" w:hAnsiTheme="minorHAnsi" w:cstheme="minorHAnsi"/>
        </w:rPr>
        <w:id w:val="479189672"/>
        <w:placeholder>
          <w:docPart w:val="DefaultPlaceholder_-1854013440"/>
        </w:placeholder>
        <w:showingPlcHdr/>
      </w:sdtPr>
      <w:sdtContent>
        <w:p w14:paraId="23B98C04" w14:textId="66C4CE30" w:rsidR="00583E16" w:rsidRPr="00583E16" w:rsidRDefault="00583E16" w:rsidP="00583E16">
          <w:pPr>
            <w:ind w:firstLine="710"/>
            <w:rPr>
              <w:rFonts w:asciiTheme="minorHAnsi" w:hAnsiTheme="minorHAnsi" w:cstheme="minorHAnsi"/>
            </w:rPr>
          </w:pPr>
          <w:r w:rsidRPr="00D526DB">
            <w:rPr>
              <w:rStyle w:val="PlaceholderText"/>
            </w:rPr>
            <w:t>Click or tap here to enter text.</w:t>
          </w:r>
        </w:p>
      </w:sdtContent>
    </w:sdt>
    <w:p w14:paraId="203D294E" w14:textId="77777777" w:rsidR="00583E16" w:rsidRPr="00583E16" w:rsidRDefault="00583E16" w:rsidP="00583E16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</w:rPr>
      </w:pPr>
      <w:r w:rsidRPr="00583E16">
        <w:rPr>
          <w:rFonts w:asciiTheme="minorHAnsi" w:hAnsiTheme="minorHAnsi" w:cstheme="minorHAnsi"/>
          <w:b/>
        </w:rPr>
        <w:t xml:space="preserve">Brief Description of Presentation </w:t>
      </w:r>
      <w:r w:rsidRPr="00583E16">
        <w:rPr>
          <w:rFonts w:asciiTheme="minorHAnsi" w:hAnsiTheme="minorHAnsi" w:cstheme="minorHAnsi"/>
        </w:rPr>
        <w:t xml:space="preserve">(to be included in materials): </w:t>
      </w:r>
    </w:p>
    <w:sdt>
      <w:sdtPr>
        <w:rPr>
          <w:rFonts w:asciiTheme="minorHAnsi" w:eastAsia="Calibri" w:hAnsiTheme="minorHAnsi" w:cstheme="minorHAnsi"/>
          <w:b/>
        </w:rPr>
        <w:id w:val="-1666011239"/>
        <w:placeholder>
          <w:docPart w:val="DefaultPlaceholder_-1854013440"/>
        </w:placeholder>
        <w:showingPlcHdr/>
      </w:sdtPr>
      <w:sdtContent>
        <w:p w14:paraId="6566637C" w14:textId="69AD58FE" w:rsidR="00583E16" w:rsidRPr="00583E16" w:rsidRDefault="00583E16" w:rsidP="00583E16">
          <w:pPr>
            <w:ind w:firstLine="710"/>
            <w:rPr>
              <w:rFonts w:asciiTheme="minorHAnsi" w:eastAsia="Calibri" w:hAnsiTheme="minorHAnsi" w:cstheme="minorHAnsi"/>
              <w:b/>
            </w:rPr>
          </w:pPr>
          <w:r w:rsidRPr="00D526DB">
            <w:rPr>
              <w:rStyle w:val="PlaceholderText"/>
            </w:rPr>
            <w:t>Click or tap here to enter text.</w:t>
          </w:r>
        </w:p>
      </w:sdtContent>
    </w:sdt>
    <w:p w14:paraId="24037732" w14:textId="2E954533" w:rsidR="00583E16" w:rsidRPr="00583E16" w:rsidRDefault="3037398F" w:rsidP="3037398F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Bidi"/>
          <w:b/>
          <w:bCs/>
        </w:rPr>
      </w:pPr>
      <w:r w:rsidRPr="3037398F">
        <w:rPr>
          <w:rFonts w:asciiTheme="minorHAnsi" w:hAnsiTheme="minorHAnsi" w:cstheme="minorBidi"/>
          <w:b/>
          <w:bCs/>
        </w:rPr>
        <w:t xml:space="preserve">Three Learning Objectives </w:t>
      </w:r>
      <w:r w:rsidRPr="3037398F">
        <w:rPr>
          <w:rFonts w:asciiTheme="minorHAnsi" w:hAnsiTheme="minorHAnsi" w:cstheme="minorBidi"/>
        </w:rPr>
        <w:t>(required for CEU credits)</w:t>
      </w:r>
      <w:r w:rsidRPr="3037398F">
        <w:rPr>
          <w:rFonts w:asciiTheme="minorHAnsi" w:hAnsiTheme="minorHAnsi" w:cstheme="minorBidi"/>
          <w:b/>
          <w:bCs/>
        </w:rPr>
        <w:t>:</w:t>
      </w:r>
    </w:p>
    <w:p w14:paraId="34008943" w14:textId="3A4CDBCB" w:rsidR="00583E16" w:rsidRPr="00583E16" w:rsidRDefault="00583E16" w:rsidP="00583E16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1002250017"/>
          <w:placeholder>
            <w:docPart w:val="DefaultPlaceholder_-1854013440"/>
          </w:placeholder>
          <w:showingPlcHdr/>
        </w:sdtPr>
        <w:sdtContent>
          <w:r w:rsidRPr="00D526DB">
            <w:rPr>
              <w:rStyle w:val="PlaceholderText"/>
            </w:rPr>
            <w:t>Click or tap here to enter text.</w:t>
          </w:r>
        </w:sdtContent>
      </w:sdt>
    </w:p>
    <w:p w14:paraId="139EAFDA" w14:textId="1230A94C" w:rsidR="00583E16" w:rsidRPr="00583E16" w:rsidRDefault="3037398F" w:rsidP="3037398F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Bidi"/>
          <w:b/>
          <w:bCs/>
        </w:rPr>
      </w:pPr>
      <w:r w:rsidRPr="3037398F">
        <w:rPr>
          <w:rFonts w:asciiTheme="minorHAnsi" w:hAnsiTheme="minorHAnsi" w:cstheme="minorBidi"/>
          <w:b/>
          <w:bCs/>
        </w:rPr>
        <w:t xml:space="preserve">Three to Five (3-5) Literature References </w:t>
      </w:r>
      <w:r w:rsidRPr="3037398F">
        <w:rPr>
          <w:rFonts w:asciiTheme="minorHAnsi" w:hAnsiTheme="minorHAnsi" w:cstheme="minorBidi"/>
        </w:rPr>
        <w:t>(required for CEU credits, must be published within the last 10 years):</w:t>
      </w:r>
    </w:p>
    <w:sdt>
      <w:sdtPr>
        <w:rPr>
          <w:rFonts w:asciiTheme="minorHAnsi" w:hAnsiTheme="minorHAnsi" w:cstheme="minorHAnsi"/>
          <w:b/>
        </w:rPr>
        <w:id w:val="801512582"/>
        <w:placeholder>
          <w:docPart w:val="DefaultPlaceholder_-1854013440"/>
        </w:placeholder>
        <w:showingPlcHdr/>
      </w:sdtPr>
      <w:sdtContent>
        <w:p w14:paraId="49CCEFDF" w14:textId="3E68F21C" w:rsidR="00583E16" w:rsidRPr="00583E16" w:rsidRDefault="00583E16" w:rsidP="00583E16">
          <w:pPr>
            <w:pStyle w:val="ListParagraph"/>
            <w:rPr>
              <w:rFonts w:asciiTheme="minorHAnsi" w:hAnsiTheme="minorHAnsi" w:cstheme="minorHAnsi"/>
              <w:b/>
            </w:rPr>
          </w:pPr>
          <w:r w:rsidRPr="00D526DB">
            <w:rPr>
              <w:rStyle w:val="PlaceholderText"/>
            </w:rPr>
            <w:t>Click or tap here to enter text.</w:t>
          </w:r>
        </w:p>
      </w:sdtContent>
    </w:sdt>
    <w:p w14:paraId="561B2842" w14:textId="77777777" w:rsidR="00583E16" w:rsidRPr="00583E16" w:rsidRDefault="00583E16" w:rsidP="00583E16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b/>
        </w:rPr>
      </w:pPr>
      <w:r w:rsidRPr="00583E16">
        <w:rPr>
          <w:rFonts w:asciiTheme="minorHAnsi" w:hAnsiTheme="minorHAnsi" w:cstheme="minorHAnsi"/>
          <w:b/>
        </w:rPr>
        <w:t>Identify Audiovisual needs:</w:t>
      </w:r>
    </w:p>
    <w:p w14:paraId="326A1077" w14:textId="398FF44D" w:rsidR="00583E16" w:rsidRPr="00583E16" w:rsidRDefault="00000000" w:rsidP="00583E16">
      <w:pPr>
        <w:ind w:left="72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209943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E1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3E16">
        <w:rPr>
          <w:rFonts w:asciiTheme="minorHAnsi" w:hAnsiTheme="minorHAnsi" w:cstheme="minorHAnsi"/>
        </w:rPr>
        <w:t xml:space="preserve"> Screen Sharing via Zoom</w:t>
      </w:r>
      <w:r w:rsidR="00583E16">
        <w:rPr>
          <w:rFonts w:asciiTheme="minorHAnsi" w:hAnsiTheme="minorHAnsi" w:cstheme="minorHAnsi"/>
        </w:rPr>
        <w:tab/>
      </w:r>
      <w:r w:rsidR="00583E16" w:rsidRPr="00583E1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4057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E1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3E16">
        <w:rPr>
          <w:rFonts w:asciiTheme="minorHAnsi" w:hAnsiTheme="minorHAnsi" w:cstheme="minorHAnsi"/>
        </w:rPr>
        <w:t xml:space="preserve"> Other: </w:t>
      </w:r>
      <w:sdt>
        <w:sdtPr>
          <w:rPr>
            <w:rFonts w:asciiTheme="minorHAnsi" w:hAnsiTheme="minorHAnsi" w:cstheme="minorHAnsi"/>
          </w:rPr>
          <w:id w:val="-1642728051"/>
          <w:placeholder>
            <w:docPart w:val="DefaultPlaceholder_-1854013440"/>
          </w:placeholder>
          <w:showingPlcHdr/>
        </w:sdtPr>
        <w:sdtContent>
          <w:r w:rsidR="00583E16" w:rsidRPr="00D526DB">
            <w:rPr>
              <w:rStyle w:val="PlaceholderText"/>
            </w:rPr>
            <w:t>Click or tap here to enter text.</w:t>
          </w:r>
        </w:sdtContent>
      </w:sdt>
      <w:r w:rsidR="00583E16" w:rsidRPr="00583E16">
        <w:rPr>
          <w:rFonts w:asciiTheme="minorHAnsi" w:hAnsiTheme="minorHAnsi" w:cstheme="minorHAnsi"/>
        </w:rPr>
        <w:t xml:space="preserve"> </w:t>
      </w:r>
    </w:p>
    <w:p w14:paraId="6AE45B8B" w14:textId="2A068524" w:rsidR="00583E16" w:rsidRPr="00583E16" w:rsidRDefault="00583E16" w:rsidP="00583E16">
      <w:pPr>
        <w:ind w:left="720"/>
        <w:rPr>
          <w:rFonts w:asciiTheme="minorHAnsi" w:hAnsiTheme="minorHAnsi" w:cstheme="minorHAnsi"/>
          <w:b/>
        </w:rPr>
      </w:pPr>
    </w:p>
    <w:p w14:paraId="5598CF18" w14:textId="77777777" w:rsidR="00583E16" w:rsidRPr="00583E16" w:rsidRDefault="00583E16" w:rsidP="00583E16">
      <w:pPr>
        <w:rPr>
          <w:rFonts w:asciiTheme="minorHAnsi" w:hAnsiTheme="minorHAnsi" w:cstheme="minorHAnsi"/>
          <w:b/>
        </w:rPr>
      </w:pPr>
    </w:p>
    <w:p w14:paraId="624D9F43" w14:textId="77777777" w:rsidR="00583E16" w:rsidRPr="00583E16" w:rsidRDefault="00583E16" w:rsidP="00583E16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</w:rPr>
      </w:pPr>
      <w:r w:rsidRPr="00583E16">
        <w:rPr>
          <w:rFonts w:asciiTheme="minorHAnsi" w:hAnsiTheme="minorHAnsi" w:cstheme="minorHAnsi"/>
          <w:b/>
        </w:rPr>
        <w:t xml:space="preserve">Professional References </w:t>
      </w:r>
      <w:r w:rsidRPr="00583E16">
        <w:rPr>
          <w:rFonts w:asciiTheme="minorHAnsi" w:hAnsiTheme="minorHAnsi" w:cstheme="minorHAnsi"/>
        </w:rPr>
        <w:t>(regarding speaking and teaching ability):</w:t>
      </w:r>
    </w:p>
    <w:sdt>
      <w:sdtPr>
        <w:rPr>
          <w:rFonts w:asciiTheme="minorHAnsi" w:hAnsiTheme="minorHAnsi" w:cstheme="minorHAnsi"/>
          <w:b/>
        </w:rPr>
        <w:id w:val="-2046589519"/>
        <w:placeholder>
          <w:docPart w:val="DefaultPlaceholder_-1854013440"/>
        </w:placeholder>
        <w:showingPlcHdr/>
      </w:sdtPr>
      <w:sdtContent>
        <w:p w14:paraId="56E3BB7C" w14:textId="16924658" w:rsidR="00583E16" w:rsidRPr="00583E16" w:rsidRDefault="00583E16" w:rsidP="00583E16">
          <w:pPr>
            <w:spacing w:after="0" w:line="240" w:lineRule="auto"/>
            <w:ind w:left="730"/>
            <w:rPr>
              <w:rFonts w:asciiTheme="minorHAnsi" w:hAnsiTheme="minorHAnsi" w:cstheme="minorHAnsi"/>
              <w:b/>
            </w:rPr>
          </w:pPr>
          <w:r w:rsidRPr="00D526DB">
            <w:rPr>
              <w:rStyle w:val="PlaceholderText"/>
            </w:rPr>
            <w:t>Click or tap here to enter text.</w:t>
          </w:r>
        </w:p>
      </w:sdtContent>
    </w:sdt>
    <w:p w14:paraId="799C5E55" w14:textId="77777777" w:rsidR="00583E16" w:rsidRPr="00583E16" w:rsidRDefault="00583E16" w:rsidP="00583E16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83E16">
        <w:rPr>
          <w:rFonts w:asciiTheme="minorHAnsi" w:hAnsiTheme="minorHAnsi" w:cstheme="minorHAnsi"/>
          <w:b/>
        </w:rPr>
        <w:t xml:space="preserve">Please describe your: </w:t>
      </w:r>
      <w:r w:rsidRPr="00583E16">
        <w:rPr>
          <w:rFonts w:asciiTheme="minorHAnsi" w:hAnsiTheme="minorHAnsi" w:cstheme="minorHAnsi"/>
        </w:rPr>
        <w:t>1) professional expertise &amp; qualifications, 2) speaking experience, and 3) list of published work</w:t>
      </w:r>
    </w:p>
    <w:sdt>
      <w:sdtPr>
        <w:rPr>
          <w:rFonts w:asciiTheme="minorHAnsi" w:hAnsiTheme="minorHAnsi" w:cstheme="minorHAnsi"/>
        </w:rPr>
        <w:id w:val="-1079132604"/>
        <w:placeholder>
          <w:docPart w:val="DefaultPlaceholder_-1854013440"/>
        </w:placeholder>
        <w:showingPlcHdr/>
      </w:sdtPr>
      <w:sdtContent>
        <w:p w14:paraId="7EDBDE5B" w14:textId="534E19AE" w:rsidR="00583E16" w:rsidRPr="00583E16" w:rsidRDefault="00583E16" w:rsidP="00583E16">
          <w:pPr>
            <w:ind w:left="730"/>
            <w:rPr>
              <w:rFonts w:asciiTheme="minorHAnsi" w:hAnsiTheme="minorHAnsi" w:cstheme="minorHAnsi"/>
            </w:rPr>
          </w:pPr>
          <w:r w:rsidRPr="00D526DB">
            <w:rPr>
              <w:rStyle w:val="PlaceholderText"/>
            </w:rPr>
            <w:t>Click or tap here to enter text.</w:t>
          </w:r>
        </w:p>
      </w:sdtContent>
    </w:sdt>
    <w:p w14:paraId="4FC81823" w14:textId="09C00692" w:rsidR="003C3C4E" w:rsidRPr="00583E16" w:rsidRDefault="3037398F" w:rsidP="3037398F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Bidi"/>
        </w:rPr>
      </w:pPr>
      <w:r w:rsidRPr="3037398F">
        <w:rPr>
          <w:rFonts w:asciiTheme="minorHAnsi" w:hAnsiTheme="minorHAnsi" w:cstheme="minorBidi"/>
          <w:b/>
          <w:bCs/>
        </w:rPr>
        <w:t>Please provide your resume</w:t>
      </w:r>
      <w:r w:rsidRPr="3037398F">
        <w:rPr>
          <w:rFonts w:asciiTheme="minorHAnsi" w:hAnsiTheme="minorHAnsi" w:cstheme="minorBidi"/>
        </w:rPr>
        <w:t>.</w:t>
      </w:r>
    </w:p>
    <w:p w14:paraId="7509FB48" w14:textId="38F00FB7" w:rsidR="3037398F" w:rsidRDefault="3037398F" w:rsidP="3037398F">
      <w:pPr>
        <w:spacing w:after="0" w:line="240" w:lineRule="auto"/>
        <w:ind w:left="0"/>
      </w:pPr>
    </w:p>
    <w:p w14:paraId="0C3A44BC" w14:textId="206BC603" w:rsidR="3037398F" w:rsidRDefault="3037398F" w:rsidP="3037398F">
      <w:pPr>
        <w:spacing w:after="0" w:line="240" w:lineRule="auto"/>
        <w:ind w:left="0"/>
      </w:pPr>
    </w:p>
    <w:sectPr w:rsidR="3037398F">
      <w:pgSz w:w="12240" w:h="15840"/>
      <w:pgMar w:top="1356" w:right="1238" w:bottom="1089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Grotesk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95D"/>
    <w:multiLevelType w:val="hybridMultilevel"/>
    <w:tmpl w:val="C41A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686C"/>
    <w:multiLevelType w:val="hybridMultilevel"/>
    <w:tmpl w:val="13A8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98"/>
    <w:multiLevelType w:val="hybridMultilevel"/>
    <w:tmpl w:val="7BB0AD92"/>
    <w:lvl w:ilvl="0" w:tplc="B4443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2011"/>
    <w:multiLevelType w:val="hybridMultilevel"/>
    <w:tmpl w:val="EC7E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05F7"/>
    <w:multiLevelType w:val="hybridMultilevel"/>
    <w:tmpl w:val="2D12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0A8"/>
    <w:multiLevelType w:val="hybridMultilevel"/>
    <w:tmpl w:val="51DA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14D14"/>
    <w:multiLevelType w:val="hybridMultilevel"/>
    <w:tmpl w:val="87FA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83189">
    <w:abstractNumId w:val="4"/>
  </w:num>
  <w:num w:numId="2" w16cid:durableId="1561944818">
    <w:abstractNumId w:val="3"/>
  </w:num>
  <w:num w:numId="3" w16cid:durableId="1033731908">
    <w:abstractNumId w:val="0"/>
  </w:num>
  <w:num w:numId="4" w16cid:durableId="1910379695">
    <w:abstractNumId w:val="6"/>
  </w:num>
  <w:num w:numId="5" w16cid:durableId="785346318">
    <w:abstractNumId w:val="5"/>
  </w:num>
  <w:num w:numId="6" w16cid:durableId="850949458">
    <w:abstractNumId w:val="1"/>
  </w:num>
  <w:num w:numId="7" w16cid:durableId="52070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82"/>
    <w:rsid w:val="00050A25"/>
    <w:rsid w:val="001370B2"/>
    <w:rsid w:val="0026348F"/>
    <w:rsid w:val="003C3C4E"/>
    <w:rsid w:val="00541C82"/>
    <w:rsid w:val="00583E16"/>
    <w:rsid w:val="00742D30"/>
    <w:rsid w:val="00822FCE"/>
    <w:rsid w:val="009C1FE5"/>
    <w:rsid w:val="00F16BAC"/>
    <w:rsid w:val="3037398F"/>
    <w:rsid w:val="628E8995"/>
    <w:rsid w:val="6CF8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1DA2"/>
  <w15:docId w15:val="{B0BBC86A-B276-4CAB-9E1F-561F503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AkzidenzGrotesk" w:eastAsia="AkzidenzGrotesk" w:hAnsi="AkzidenzGrotesk" w:cs="AkzidenzGrotesk"/>
      <w:color w:val="55555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/>
      <w:ind w:left="10" w:hanging="10"/>
      <w:outlineLvl w:val="0"/>
    </w:pPr>
    <w:rPr>
      <w:rFonts w:ascii="Gotham" w:eastAsia="Gotham" w:hAnsi="Gotham" w:cs="Gotham"/>
      <w:color w:val="FFFFFF"/>
      <w:sz w:val="32"/>
      <w:shd w:val="clear" w:color="auto" w:fill="F28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otham" w:eastAsia="Gotham" w:hAnsi="Gotham" w:cs="Gotham"/>
      <w:color w:val="FFFFFF"/>
      <w:sz w:val="32"/>
      <w:shd w:val="clear" w:color="auto" w:fill="F284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6BAC"/>
    <w:pPr>
      <w:ind w:left="720"/>
      <w:contextualSpacing/>
    </w:pPr>
  </w:style>
  <w:style w:type="table" w:styleId="TableGrid0">
    <w:name w:val="Table Grid"/>
    <w:basedOn w:val="TableNormal"/>
    <w:uiPriority w:val="39"/>
    <w:rsid w:val="003C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3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2002-A0D2-4AAB-9011-6187D317F6F2}"/>
      </w:docPartPr>
      <w:docPartBody>
        <w:p w:rsidR="00186634" w:rsidRDefault="00067CB3">
          <w:r w:rsidRPr="00D52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8B0685E814DBBB791055C6E0E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CD4A-449E-4703-AAAF-DE316AE12A23}"/>
      </w:docPartPr>
      <w:docPartBody>
        <w:p w:rsidR="00186634" w:rsidRDefault="00067CB3" w:rsidP="00067CB3">
          <w:pPr>
            <w:pStyle w:val="C088B0685E814DBBB791055C6E0E7787"/>
          </w:pPr>
          <w:r w:rsidRPr="00D52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342492B324DB5BFF8E82AB737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20D0-A36D-43BD-873B-1DA06F0363B1}"/>
      </w:docPartPr>
      <w:docPartBody>
        <w:p w:rsidR="00186634" w:rsidRDefault="00067CB3" w:rsidP="00067CB3">
          <w:pPr>
            <w:pStyle w:val="5D3342492B324DB5BFF8E82AB7373C8B"/>
          </w:pPr>
          <w:r w:rsidRPr="00D526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Grotesk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B3"/>
    <w:rsid w:val="00067CB3"/>
    <w:rsid w:val="00151F72"/>
    <w:rsid w:val="00186634"/>
    <w:rsid w:val="004C6DFC"/>
    <w:rsid w:val="006728E1"/>
    <w:rsid w:val="00CA495C"/>
    <w:rsid w:val="00C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CB3"/>
    <w:rPr>
      <w:color w:val="808080"/>
    </w:rPr>
  </w:style>
  <w:style w:type="paragraph" w:customStyle="1" w:styleId="C088B0685E814DBBB791055C6E0E7787">
    <w:name w:val="C088B0685E814DBBB791055C6E0E7787"/>
    <w:rsid w:val="00067CB3"/>
    <w:pPr>
      <w:spacing w:after="3" w:line="265" w:lineRule="auto"/>
      <w:ind w:left="10" w:hanging="10"/>
    </w:pPr>
    <w:rPr>
      <w:rFonts w:ascii="AkzidenzGrotesk" w:eastAsia="AkzidenzGrotesk" w:hAnsi="AkzidenzGrotesk" w:cs="AkzidenzGrotesk"/>
      <w:color w:val="555555"/>
    </w:rPr>
  </w:style>
  <w:style w:type="paragraph" w:customStyle="1" w:styleId="5D3342492B324DB5BFF8E82AB7373C8B">
    <w:name w:val="5D3342492B324DB5BFF8E82AB7373C8B"/>
    <w:rsid w:val="00067CB3"/>
    <w:pPr>
      <w:spacing w:after="3" w:line="265" w:lineRule="auto"/>
      <w:ind w:left="10" w:hanging="10"/>
    </w:pPr>
    <w:rPr>
      <w:rFonts w:ascii="AkzidenzGrotesk" w:eastAsia="AkzidenzGrotesk" w:hAnsi="AkzidenzGrotesk" w:cs="AkzidenzGrotesk"/>
      <w:color w:val="55555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Table Captain Guide</dc:title>
  <dc:subject/>
  <dc:creator>Safe Crossings Foundation</dc:creator>
  <cp:keywords>DAEy15Cehx0,BABtNfjyczE</cp:keywords>
  <cp:lastModifiedBy>SCF Intern</cp:lastModifiedBy>
  <cp:revision>4</cp:revision>
  <dcterms:created xsi:type="dcterms:W3CDTF">2023-07-13T21:02:00Z</dcterms:created>
  <dcterms:modified xsi:type="dcterms:W3CDTF">2023-07-13T21:05:00Z</dcterms:modified>
</cp:coreProperties>
</file>